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8D" w:rsidRPr="00CB488D" w:rsidRDefault="00CB488D" w:rsidP="00CB48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REGULAMENT-CADRU din 7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iunie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2018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județene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149"/>
      </w:tblGrid>
      <w:tr w:rsidR="00CB488D" w:rsidRPr="00CB488D" w:rsidTr="00CB488D">
        <w:trPr>
          <w:tblCellSpacing w:w="15" w:type="dxa"/>
        </w:trPr>
        <w:tc>
          <w:tcPr>
            <w:tcW w:w="0" w:type="auto"/>
            <w:hideMark/>
          </w:tcPr>
          <w:p w:rsidR="00CB488D" w:rsidRPr="00CB488D" w:rsidRDefault="00CB488D" w:rsidP="00CB4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4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EMITENT</w:t>
            </w:r>
          </w:p>
        </w:tc>
        <w:tc>
          <w:tcPr>
            <w:tcW w:w="0" w:type="auto"/>
            <w:hideMark/>
          </w:tcPr>
          <w:p w:rsidR="00CB488D" w:rsidRPr="00CB488D" w:rsidRDefault="00CB488D" w:rsidP="00CB4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CB4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  MINISTERUL</w:t>
            </w:r>
            <w:proofErr w:type="gramEnd"/>
            <w:r w:rsidRPr="00CB4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SĂNĂTĂȚII</w:t>
            </w:r>
          </w:p>
        </w:tc>
      </w:tr>
    </w:tbl>
    <w:p w:rsidR="00972354" w:rsidRPr="00CB488D" w:rsidRDefault="00CB488D" w:rsidP="00CB488D">
      <w:pPr>
        <w:rPr>
          <w:rFonts w:ascii="Arial" w:hAnsi="Arial" w:cs="Arial"/>
          <w:sz w:val="24"/>
          <w:szCs w:val="24"/>
        </w:rPr>
      </w:pP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  MONITORUL</w:t>
      </w:r>
      <w:proofErr w:type="gram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OFICIAL nr. 502 din 19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iunie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2018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nr. 738 din 7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iunie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2018,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I, nr. 502 din 19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iunie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2018.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importanță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strategică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operațională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Departamentului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Afacerilor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Interne.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II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scop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prespitalicească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domiciliu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personal medical superior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calificat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discriminare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limitată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sex,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vârstă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etnie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religie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cetățenie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apartenență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politică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indiferent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scop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comercial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principale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medici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grade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prespitalicesc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domiciliu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nu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stare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critică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îngrijiri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durata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îngrijiri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durata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colaborează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celelalte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relații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rezultate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sale;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colaborează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poliția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unități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Afacerilor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național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apelurile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112,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Telecomunicații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preluare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apelurilor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112;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spectacole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liber,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festivaluri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manifestări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sportive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listelor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personal,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transmise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retroactivă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experiență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desemnate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lunară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mortalității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morbidității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inopinată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periodică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sondaje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opinie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anonime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rândul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familiilor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colective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calamități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limitat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roșu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prespitalicești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declanșat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inspectorului-șef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prefectului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biologice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transplant,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program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continuu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întreg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teritoriul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afara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III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5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din:– manager general,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curentă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director, format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asistentul-șef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concurs,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concurs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fac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interimară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Departamentului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Afacerilor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Interne. Pot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îndeplinesc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selecție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respectivei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interimară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maximum 6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luni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posibilitate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prelungire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.(4)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diligența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care un bun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proprietar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termenele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6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suspendă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fac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director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suspendă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suspendat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7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membrii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 au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declarație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interese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declarație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declarație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incompatibilități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8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un contract de management pe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maximum 3 ani,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conținutul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căruia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performanță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clauzele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părților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management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prelungit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încetarea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3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luni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maximum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management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reziliat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neîndeplinirii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9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asistentul-șef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/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Resurse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umane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Secretariat, Audit intern,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Statistică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contencios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auxiliar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10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strategiei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management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populației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zona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arondată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considerare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/private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zonă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principiul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complementarității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ceilalți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membri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management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management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evaluate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sfârșitul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fiecărui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concordanță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populației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 xml:space="preserve">c) 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strategiile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politica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adecvate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populația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deservită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considerare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local;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colaborează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autoritățile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locale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prespitalicească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individuale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calamități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integrate,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complementare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necesitățile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cetățenilor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local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disponibilitatea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continuă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disponibile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limita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resurselor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umane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Departamentului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abaterile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neaplicarea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vacante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încadrarea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11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economico-financiar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investițiilor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realizeze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exercițiu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ordonatorului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ierarhic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superior;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repartizarea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disciplinei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economico-financiare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ordonator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secundar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identifică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surse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creșterea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limitele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intern,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12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performanței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întreprinde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performanță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public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gradul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importanță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performanță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stabilesc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excepționale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din motive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neimputabile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conducerii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renegociat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nominalizează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subprogramelor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naționale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derulate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metodologiei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elaborate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prestării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recomandărilor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naționale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internaționale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control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oferite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sprijinul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negociază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seama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colaborare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furnizori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continuității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creșterii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zona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competență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individuale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adecvate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deplină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siguranță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corelat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supraveghere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control,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dispunând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încălcarea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încălcarea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preluarea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gestionarea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apelurilor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național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apeluri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- 112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realizeze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Coordcom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periodică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uniformei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siguranța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nominalizează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medic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)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13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resurselor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umane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înființează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specializate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fi: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nucleul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decesului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etc.,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căror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precizează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concurs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vacante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eliberează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performanțelor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soluționează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contestațiile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ierarhic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care s-au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făcut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perfecționare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convoacă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demarează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procedurile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negociere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colectiv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colectiv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contribuie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consolidarea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dialogului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social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durata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membrii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cuprinsul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performanță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căror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negocierea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menționați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anterior;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malpraxis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incompatibilitățile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conflictul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interese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14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relațiile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seama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asumate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învățământ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cercetare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științifică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metodologia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autorizației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secretului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confidențialității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organismelor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competente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arhivei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format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electronic;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date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cercetare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rezolvarea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sugestiilor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reclamațiilor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 xml:space="preserve">m) conduce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curentă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război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dezastre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atacuri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teroriste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conflicte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criză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o)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înlocuitor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indisponibilitate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p)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Departamentului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aspectele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operaționale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management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Afacerilor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Interne,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linie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operațională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q)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15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16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furnizare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vacante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prespitalicească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înaintează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centralizării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încadrarea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alocat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supraveghere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control,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concordanță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populației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tehnologiilor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ghidurile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război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dezastre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atacuri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teroriste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conflicte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criză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 xml:space="preserve">m) 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investițiilor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realizeze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exercițiu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asumate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o)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p)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lunar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ședințele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q)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r)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17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termen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satisfacției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ghidurilor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derularea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perfecționare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date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cercetare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deontologie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colaborând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Colegiul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acreditarea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decizii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deosebite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alături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dezastre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epidemii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principale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judicioase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polipragmaziei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supervizează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confidențialității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constituirea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arhivei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colectiv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îmbolnăvirilor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18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îndrumă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operatorilor-registratori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statistică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post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auxiliar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apreciere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înscrie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caietul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fiecărui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stagiari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afara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gărzi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baremului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instrumentar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12 ore cu 24 de ore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libere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grafice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șefii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graficele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folosirea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educație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dezastre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calamități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naturale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dezastre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instruiește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conținutului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calamități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existent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decurg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normative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trasate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carnetul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o)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clasificarea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p)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competențelor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q)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perfecționare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adecvat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competențelor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care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19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auxiliar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Asistentul-șef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furnizare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centralizării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supraveghere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control,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concordanță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populației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tehnologiilor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ghidurile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război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dezastre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atacuri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teroriste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conflicte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criză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 xml:space="preserve">k) 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investițiilor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realizeze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exercițiu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asumate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lunar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ședințele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o)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p)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21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Asistentul-șef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specifice:1.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operatorii-registratori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decurg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actualizată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comportamentul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etic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membrii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aparținătorii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obiectivelor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instrumentarului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inventarului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existent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dotare;2.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statistice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termenele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nevoie;3.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lunar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întâlniri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acesteia;4.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evaluează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periodic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activității;5.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educație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continuă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afara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evaluează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periodic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calificative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profesionale;7.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soluționare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reclamațiile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abaterile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subordine;8.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curățeniei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igienă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energie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materiale;9.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aprovizionare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instrumentar;10.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baremului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instrumentar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etc.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trusele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ținuta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vestimentară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purtarea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ecusonului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22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mișcare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exploatare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revizie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23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furnizare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vacante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exploatarea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centralizării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încadrarea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alocat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supraveghere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control,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concordanță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populației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tehnologiilor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ghidurilor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război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dezastre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atacuri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teroriste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conflicte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criză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 xml:space="preserve">l) 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investițiilor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realizeze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exercițiu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asumate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o)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lunar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ședințele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p)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q)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circulație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drumurile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misiunii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r)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24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îndrumă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mecanizare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exploatarea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rațională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parametrii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optimi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transport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sarcinilor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natură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valorificării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superioare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potențialului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) care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aprovizionarea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piese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schimb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carburanți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lubrifianți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tehnologică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aparaturii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inițiază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studii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îndrumă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exploatare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menținerii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inițiate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înaintează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perfecționării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25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financiar-contabilitate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aprovizionare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transport,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stingere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incendii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militară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apărare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instalații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clădiri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26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furnizare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vacante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centralizării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încadrarea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alocat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supraveghere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control,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concordanță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populației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dezvoltarea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tehnologiilor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ghidurile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război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dezastre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atacuri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teroriste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conflicte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criză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 xml:space="preserve">l) 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investițiilor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realizeze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exercițiu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asumate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o)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lunar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ședințele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p)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q)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27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balanțelor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bilanțurilor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defalcarea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disciplinei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semnătură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alături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operațiunile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a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refuza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motivat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acelea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contravin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criză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informațional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folosirea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evaluează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bilanțul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indicatorilor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trezorerie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bănești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cuvenite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încadrat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circuitul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justificative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patrimonial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protocoale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asemănătoare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pagubelor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recuperarea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o)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gestionarea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valorilor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gestionării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p)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financiar-contabilitate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q)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scădere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r)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studii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optimizarea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gospodărire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resurselor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bănești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maximă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încasate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s)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perfecționării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financiar-contabile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ș)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termenele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inventarierea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elementelor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pasiv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deținute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rezultatelor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inventarierii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t)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pazei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valorilor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IV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28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anexa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nr. 11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internelor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reformei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administrative nr. 2.021/691/2008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metodologice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titlului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IV „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național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ajutor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calificat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“ din</w:t>
      </w:r>
      <w:proofErr w:type="gram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nr. 95/2006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reforma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29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gradul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II.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30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cărei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mișcare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exploatare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nave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atelier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revizie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Telecomunicații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RUNOS;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Secretariat;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auxiliar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audit intern;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statistică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contencios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financiar-contabilitate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aprovizionare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transport,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stingerea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incendiilor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militară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apărare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instalații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clădiri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31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fac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medic specialist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familie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prespitalicească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principale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(1) sunt </w:t>
      </w:r>
      <w:proofErr w:type="spellStart"/>
      <w:proofErr w:type="gram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:–</w:t>
      </w:r>
      <w:proofErr w:type="gramEnd"/>
      <w:r w:rsidRPr="00CB488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B1, B2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C2;–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B1, B2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C2.(4)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 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constituit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personal medical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studii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superioare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personal medical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studii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operatori-registratori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radiotelefoniști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personal.(5)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detașare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.(6)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regim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continuu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așteptarea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32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domiciliu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pot face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specialist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familie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prespitalicească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fac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principale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(1) 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domiciliu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autospecialele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domiciliu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transport A1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A2;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sprijină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dializei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domiciliu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spital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spital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domiciliu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însoțitorilor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fac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dovada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externat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domiciliul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nemedicalizat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consult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interdisciplinar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la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retur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sânge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probe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biologice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specializate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pot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.(4)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constituit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șoferi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șoferi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posedă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permis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tip C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profesionist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.(5)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detașat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absolvirii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obținerii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atestatelor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.(6)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regim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12 cu 24 de ore.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33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nu au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medici/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deservite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pot include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voluntar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special </w:t>
      </w:r>
      <w:proofErr w:type="spellStart"/>
      <w:proofErr w:type="gram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</w:t>
      </w:r>
      <w:proofErr w:type="gramEnd"/>
      <w:r w:rsidRPr="00CB488D">
        <w:rPr>
          <w:rFonts w:ascii="Arial" w:eastAsia="Times New Roman" w:hAnsi="Arial" w:cs="Arial"/>
          <w:color w:val="000000"/>
          <w:sz w:val="24"/>
          <w:szCs w:val="24"/>
        </w:rPr>
        <w:t>4)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12 ore cu 24 de ore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libere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anunțate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</w:t>
      </w:r>
      <w:proofErr w:type="gramEnd"/>
      <w:r w:rsidRPr="00CB488D">
        <w:rPr>
          <w:rFonts w:ascii="Arial" w:eastAsia="Times New Roman" w:hAnsi="Arial" w:cs="Arial"/>
          <w:color w:val="000000"/>
          <w:sz w:val="24"/>
          <w:szCs w:val="24"/>
        </w:rPr>
        <w:t>5)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repartizează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112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apropiat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locul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competența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tip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are,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asemenea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zona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teritorială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acoperită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respectivă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Depășirea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teritoriale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permisă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.(6)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auxiliar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post care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anexe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individuale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.(7) 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igienizarea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spălarea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arondate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fac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recepția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tranzitoriu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.(8) 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există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permanent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care se 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truselor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nopții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zilele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libere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sărbătorile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.(9) 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gardă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zilnic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căruia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ultimele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24 de ore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.(10) 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fiecărei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colectează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deșeurile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.(11) 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fiecărei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există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kilometrajului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începutul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fiecărei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registrului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bord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igienă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fiecăreia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34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specializată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preluare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apelurilor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- 112.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superioară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permanent.(</w:t>
      </w:r>
      <w:proofErr w:type="gramEnd"/>
      <w:r w:rsidRPr="00CB488D">
        <w:rPr>
          <w:rFonts w:ascii="Arial" w:eastAsia="Times New Roman" w:hAnsi="Arial" w:cs="Arial"/>
          <w:color w:val="000000"/>
          <w:sz w:val="24"/>
          <w:szCs w:val="24"/>
        </w:rPr>
        <w:t>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definit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specializată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lângă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preluarea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apelului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alarmarea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echipajelor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specializate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nemedical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aceeași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face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personal special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studii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superioare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studii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posibilitatea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înlocuire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35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Amplasarea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adecvate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evitându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vecinătatea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pot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contamina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influența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negativ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compus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farmacist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.(4)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farmacistul-șef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.(5)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spațiului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existența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încăperi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).(6)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Accesul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încăperea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menționată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(5) 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absenței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farmacistului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farmaceutică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desemnat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înlocuitor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.(7)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Farmacistul-șef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minim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îngriji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menținerea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.(8)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ținută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absenței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farmacistului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.(9)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farmaceutică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dispozitive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eliberarea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.(10)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.(11)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dețină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proveniența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farmaceutice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celorlalte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dețin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stupefiante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psihotrope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.(12)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purta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halat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alb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ecuson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vizibile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gradul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.(13)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baremului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face direct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circuit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36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mișcare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exploatare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nave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zilnic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optim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dimensionat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active;2.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existența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parc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o stare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capabil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meteorologice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dificile;3.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capabili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 conduce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regim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viteză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disciplinați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conștiincioși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comportament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civilizat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pacienți;4.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unității;5.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gestionarea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cantităților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combustibil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alimentate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autosanitară;6.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periodică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/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aceștia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circule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drumurile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circulație;7.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șoferilor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/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ambulanțierilor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tură;8.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posibile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defecțiuni;9.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mărci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tipuri;10.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înmatricularea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circulație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transferate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radiază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circulație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casate;11.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circulație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sunt implicate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suferă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avarii;12.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rulajului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combustibil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zilnică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dotare;13.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scoatere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fixe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obiectelor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inventar;14.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expirarea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facultativă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unității;15.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expirarea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preocupă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periodice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unității;16.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personal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stingerea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incendiilor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37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Atelierul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revizie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telecomunicații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preocupă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radiocomunicații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dispecerate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mereu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stare de funcționare;2.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revizii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calitate;3.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personal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stingere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incendiilor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auto;4.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instruiește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atelier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aibă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cunoștințe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înlăturării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defecțiunilor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ivite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consemnează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registrul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special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atelier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data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reparației;5. 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preocupă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continuă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bagajului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cunoștințe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atelier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scule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aparate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diagnostic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reparații;6.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zilnic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minimum 80%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auto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județean;7.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atelierului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propriu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revizii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foarte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imobilizarea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mică;8.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complexitatea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mult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atelierului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propriu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îndruma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respectiva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service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specializată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cantitativ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executate;9.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fixe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obiecte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inventar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atelierul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propriu;10.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piese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cazier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piesele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înlocuite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loc special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amenajat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puțin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1 an,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piesă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atașată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o/un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etichetă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ecuson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bandă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care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inscripționa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înlocuirii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piesei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respective.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Casarea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distrugerea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piese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-verbal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descarcă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piesele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denumire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reper;11.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fundamentează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transport auto;12.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depanarea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traseu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autosanitarei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defecte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atelierul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propriu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service.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38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resurse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umane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normativului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sector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maxim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repartizate;2.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unității;3.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încadrarea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vacante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studii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vechime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vigoare;4.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cuvenite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încadrat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indemnizații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vechime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sporuri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zilele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nelucrătoare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sărbători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normal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gărzi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indemnizații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cuvenite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concediu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odihnă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incapacitate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temporară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muncă;5.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calcularea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impozitului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contribuției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contribuției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stat;6.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pontajele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care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calculează;7.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individuale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nou-încadrat;8.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registrul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teritorial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legale;9.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deciziile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modificare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salariale;10.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pensionării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salariaților;11.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personal al salariaților;12.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seamă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statistice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solicitate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abilitate;13. periodic,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control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salariații;14.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factorii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decizie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aplicare;15. periodic,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organizatorică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respective,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structuri;16.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intern;17.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impun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compartimente;18.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eliberează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legitimațiile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acces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salariaților;19.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deciziile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săvârșesc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abateri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disciplinare;20.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muncii;21.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calculul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termenele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onora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unității;22.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funcții;23.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lunar,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statistice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Sănătății;24.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calculare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sporuri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concedii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concedii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odihnă;25.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nou-angajat;26.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impusă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Trezoreria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plătite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timp;27.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celelalte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resurse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umane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salarizare;28.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biroului;29.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responsabilitate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ocuparea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vacante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sindicatele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, conform legii;30.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coordonatorii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șefii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, conform legii;31.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performanțelor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individuale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legii;32.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decurg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normative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legii;33. 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medical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transport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neasistat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alocate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fiecărui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an.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sume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folosite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Colegiul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Generaliști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Moașelor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economic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socioadministrativ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asemenea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beneficiar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necesitățile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conform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resurse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umane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39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Secretariatul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subordinea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corespondența;2.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clasifică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corespondența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mapă;3.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corespondența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catalogarea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subiectului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soluționare;4.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registrul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intrare-ieșire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consemnează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data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documentul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primit;5.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repartizează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rezolvarea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corespondenței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rezolutive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petenți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solicitante;6.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pregătește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corespondența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expediere;7.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expedierea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propriu-zisă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corespondenței;8.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petițiilor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reclamațiilor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termene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acolo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registrele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special întocmite;9.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disciplina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rezolvare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corespondenței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termenul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40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audit intern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actualizează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proiectul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public intern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ordonatorul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credite;2.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public intern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evalua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management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control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entității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transparente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economicitate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eficacitate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Auditul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public.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public intern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auditează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puțin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3 ani,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limita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implicații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constituirii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beneficiarii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provenite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finanțare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externă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asumate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fondurile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vânzarea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gajarea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concesionarea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închirierea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administrativ-teritoriale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concesionarea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închirierea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public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administrativ-teritoriale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constituirea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autorizare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titlurilor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facilităților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încasarea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alocarea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fiabilitatea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deciziilor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control,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riscurile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asociate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;–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sistemele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informatice;3.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misiuni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public intern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ordonatorului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ordonatorul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rapoarte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public intern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finalizate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entității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recomandările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cuprinse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public intern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auditate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recomandărilor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incluzând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calendar al acestora;4.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periodic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concluziilor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recomandărilor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rezultate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sale de audit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teritoriale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Centrală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Armonizare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Auditului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Public Intern/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ierarhic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superior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),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ordonatorul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progreselor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auditate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recomandărilor;5.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public intern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Sănătății;6.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imediat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entității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control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identificării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iregularități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posibile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prejudicii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misiunilor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audit public intern;7.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sarcini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competență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legal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41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statistică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-verbal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săptămână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zilnic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centrală;2.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prelucrează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arhivează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listingurile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înregistrate;3.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exploatează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interogare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date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furniza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legate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Stat,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Departamentul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Afacerilor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Interne, rude,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poliție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parchete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instanțe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judecată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implicate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limitele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legii;4.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extragerea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arhivă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solicitate de conducere;5.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suportului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internării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bolnavilor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solicitanților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unității;6.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arhivarea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carnetelor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registrelor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solicitărilor;7.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suportului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corespondenței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poliție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parchete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instanțe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judecată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diverse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vigoare;8.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corectitudinii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solicitare;9.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Departamentul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Urgență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Afacerilor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Interne;10.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gestionarea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arhivarea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solicitare;11.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confidențialitatea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înscrise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solicitare;12.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certificatelor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constatatoare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deces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rapoartelor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gardă;13.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corespondenței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poliție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parchete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instanțe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judecată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diverse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42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contencios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instrucțiunilor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hotărârilor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județean;2.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pot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unității;3.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celelalte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proiecte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unității;4.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elaborate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județean;5.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asistență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judecată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arbitrare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împuternicirii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scrise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apariția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normative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semnalează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sarcinile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acestea;7.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proceselor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litigiilor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titlurilor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creanțele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acesteia;8.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structurilor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interesate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titlurile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obținute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silită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procesele-verbale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insolvabilitate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debitorilor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financiar-contabilitate;9.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financiar-contabil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înaintea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control),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delegații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date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fixa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pretențiile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renunță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pretenții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interogatoriu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implicate);10.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negocieri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formularea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obiecțiunilor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precontractuale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pun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discuție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probleme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concilierea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obiecțiunilor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discuție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clauze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contract;11.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susține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interesele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instanțele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judecătorești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atac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apărării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intereselor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unității;12.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aduce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cunoștința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factorilor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apariția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normative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modalității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acestora;13.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zi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accent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normative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unității;14.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atenționare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defectuoasă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neaplicarea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factori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remedierea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situații;15.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interioară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județean;16.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interzis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evenimentele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mass-media;17.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rezolvă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juridic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43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financiar-contabilitate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valorilor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strictețe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gestiune;2.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valorilor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materiale;3.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contabile;4.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confruntarea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sintetice;5. 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grijă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operațiune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consemnată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alături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justificative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contabilitate;6.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valorilor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obiectelor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inventar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cantitativ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calitativ;7.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furnizorilor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celorlalte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creanțe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popriri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juridice;8.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natura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lor;9.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înregistrării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operațiunilor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lunar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bilanțul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contabil;10.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venituri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acestuia;11.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periodic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impun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stocurilor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supranormative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mișcare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mișcare;12.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adoptă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recuperarea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pagubelor;13.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inventarierea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valorilor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definitivarea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rezultatelor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acesteia;14.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seamă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contabile;15.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tehnico-operative;16.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financiar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gestiune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vigoare;17.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contabile;18.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periodice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gestiunilor;19.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concordanță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încasări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plăți;20.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comenzilor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limita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aprobate;21.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plată;22.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justificative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vigoare;23.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periodic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inopinat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casieriei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existența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faptică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numerarului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celorlalte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valori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confruntă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rezultatele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-verbal de verificare;24.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termen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balanțelor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debitori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furnizori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cheltuieli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efective;25.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operațiunile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plăți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încasări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la: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cuvenite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încasările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controlului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ulterior,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stat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diverși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credite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deschiderea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finanțării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decontarea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investiții;26. 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neregulă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identificată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contabile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44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aprovizionare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transport,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stingerea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incendiilor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militară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apărare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reparații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instalații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clădiri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subordonat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aprovizioneze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ritmic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sunt solicitate;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conform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făcută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limita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alocate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achiziționate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achiziționeze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medicamente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aparatură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cunoască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actualizată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păstreze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urmărească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derularea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termenilor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contractuali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(1)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supraveghează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extern,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nereguli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abateri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oprirea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aduce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cunoștința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neregulile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remediere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fișele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tot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lunar,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trimestrial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despre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înmânează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președintelui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legătura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autoritățile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locale;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rezolvă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problemele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apărute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trasate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autoritățile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sus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menționate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aduce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cunoștința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șefului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j)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convocările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demonstrative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competente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k)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dezastrelor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l)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politica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m)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alocarea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condițiilor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n)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introducerea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tehnologii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alegerea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considerare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consecințele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anumitor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deficiențe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o)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alegerea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cumpărarea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echipamentelor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colectivă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individuală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p)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extern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menținerea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înlocuirea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q)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amenajare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ținând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seama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grupurilor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sensibile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riscuri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r)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formulate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lucrători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îndeplinesc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persoanele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desemnate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extern;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s)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ș)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îmbolnăvirilor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introducerea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t)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cauzele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producerii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îmbolnăvirilor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evenimentelor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cercetării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ț)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instrucțiunilor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face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făcute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u)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dezbate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prezentat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puțin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an,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au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întreprinse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 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normative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arhivei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registraturii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curățenia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înlăturare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agenților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biologici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desprăfuire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dezinsecție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stingere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incendiilor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aflate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păstrează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confidențialitatea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deținute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gestionează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arhiva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generală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instituției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predarea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-verbal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Arhivele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Naționale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normativului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.(4)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Biroul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. (1),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evidenței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întreținerii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clădirilor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instalațiilor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încălzire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electrice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clădirilor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patrimoniul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intervine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utilităților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canal, gaze,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energie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electrică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salubritate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telefoane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 xml:space="preserve">c) 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preocupă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sediul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central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celelalte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sedii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aibă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aspect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igienico-sanitar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corespunzător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V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45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cercetare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abaterilor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disciplina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profesională;2.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încălcării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nr. 53/2003 -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republicată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completările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ierarhici;3.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încălcării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deontologie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medicală;4.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împrejurărilor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fapta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săvârșită;5.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gradului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vinovăție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consecințelor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abaterii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disciplinare;6.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eventualelor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sancțiuni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disciplinare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suferite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anterior de salariat;7.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cercetării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disciplinare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prealabile;8.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sancțiunii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decisă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manager.(2)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desfășurare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/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examenelor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încadrare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promovare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principale:1.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selectarea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dosarelor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concurs/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examen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candidaților;2.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subiectelor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scrisă;3.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probei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practice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ei;4.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interviului;5.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fiecărui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candidat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probă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/examenului;6.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secretariatul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rezultatelor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examenului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comunicate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candidaților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soluționare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contestațiilor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principale:1.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soluționarea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contestațiilor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depuse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candidați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fiecărei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probe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/examenului;2.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secretariatul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rezultatelor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contestațiilor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comunicate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candidaților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.(4)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a)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b)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urmărirea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reglementările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legislative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c)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factorilor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risc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îmbolnăvire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existenți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d)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promovarea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inițiativelor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celorlalți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vizând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îmbolnăvirilor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e)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cercetărilor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producerii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apariției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îmbolnăviri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f)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efectuarea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locurile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îmbolnăvirilor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g)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inspectoratelor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teritoriale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încălcarea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normelor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ceilalți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membri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există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divergențe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h)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hotărâri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schimbări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implicații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.(5)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întrunește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periodic,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inițiativa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conducătorului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nevoie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riscuri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accidente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îmbolnăvire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.(6)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prezinte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puțin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an,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securității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acțiunile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au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întreprinse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eficiența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încheiat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protecție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muncii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.(7)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Consiliul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etic are,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principal,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atribuții:1.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promovarea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valorilor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rândul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auxiliar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sanitare;2.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identificarea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vulnerabilităților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riscurilor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apărute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manager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adoptării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implementării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corupție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sanitare;3.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formularea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înaintarea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manager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diminuarea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riscurilor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incidente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etică;4.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intern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înaintarea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acestuia;5.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formularea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etic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consultativ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solicitarea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 al unității;6.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situațiilor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dubiu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pot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apărea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exercitarea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profesiei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medicale;7.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primirea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făcute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soluționării;8.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încălcare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principiilor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morale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deontologice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pacient-cadru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auxiliar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vigoare;9.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conduitei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auxiliar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încalcă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drepturile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specifică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primite;10.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tipuri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abuzuri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săvârșite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superiori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ierarhici;11.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privesc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nerespectarea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demnității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umane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măsurilor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concrete de soluționare;12.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emiterea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incidentele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etică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semnalate;13.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emiterea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hotărârilor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sanitară;14.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integritate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Ministerului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petentului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conținutul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avizului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etic;15.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conținutului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comunicărilor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adresate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petenților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ca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răspuns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sesizările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acestora;16.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înaintarea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sesizărilor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privesc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plățile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informale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personalul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medico-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auxiliar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condiționarea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acordării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obținerea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foloase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persoanele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competente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au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sesizat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serviciu;17.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statului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aspectele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dintr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-o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pot 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infracțiuni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nu au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sesizate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reprezentanții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petent;18.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conținutului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rapoartelor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bianuale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întocmite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secretarul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etică;19.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redactarea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anuarului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etic,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soluționare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spețelor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reprezentative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cursul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precedent,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punerea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angajaților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așa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fel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încât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constituie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un manual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practici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sanitare;20.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rezultatelor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aplicării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chestionarului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mecanismului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feedback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pacientului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VI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Finanțarea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46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finanțată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integral de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stat.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47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Managerul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membrii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comitetului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director nu pot beneficia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sponsorizări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finanțări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direct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indirect,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conferințe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congrese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tipuri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manifestări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firmele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comercializează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farmaceutice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sanitare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firmele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reprezintă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interesele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firmele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aparatură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firmele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comercializează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vehicule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intervenție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reprezentanții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Capitolul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VII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Dispoziții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finale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lastRenderedPageBreak/>
        <w:t>Articolul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48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(1)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categoriile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personal din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serviciile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ambulanță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județene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obligația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respectării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prezentului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regulament-cadru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.(2)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adus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cunoștința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salariaților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bază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semnătură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.(3) 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Modificarea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regulamentului-cadru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funcționare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se face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ordin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ministrului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B488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CB48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B488D">
        <w:rPr>
          <w:rFonts w:ascii="Arial" w:eastAsia="Times New Roman" w:hAnsi="Arial" w:cs="Arial"/>
          <w:color w:val="000000"/>
          <w:sz w:val="24"/>
          <w:szCs w:val="24"/>
        </w:rPr>
        <w:br/>
        <w:t>-----</w:t>
      </w:r>
    </w:p>
    <w:sectPr w:rsidR="00972354" w:rsidRPr="00CB488D" w:rsidSect="00CB488D">
      <w:footerReference w:type="default" r:id="rId6"/>
      <w:pgSz w:w="12240" w:h="15840"/>
      <w:pgMar w:top="720" w:right="63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8F6" w:rsidRDefault="003808F6" w:rsidP="00CB488D">
      <w:pPr>
        <w:spacing w:after="0" w:line="240" w:lineRule="auto"/>
      </w:pPr>
      <w:r>
        <w:separator/>
      </w:r>
    </w:p>
  </w:endnote>
  <w:endnote w:type="continuationSeparator" w:id="0">
    <w:p w:rsidR="003808F6" w:rsidRDefault="003808F6" w:rsidP="00CB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969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88D" w:rsidRDefault="00CB48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B488D" w:rsidRDefault="00CB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8F6" w:rsidRDefault="003808F6" w:rsidP="00CB488D">
      <w:pPr>
        <w:spacing w:after="0" w:line="240" w:lineRule="auto"/>
      </w:pPr>
      <w:r>
        <w:separator/>
      </w:r>
    </w:p>
  </w:footnote>
  <w:footnote w:type="continuationSeparator" w:id="0">
    <w:p w:rsidR="003808F6" w:rsidRDefault="003808F6" w:rsidP="00CB4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8D"/>
    <w:rsid w:val="000F1DC5"/>
    <w:rsid w:val="003808F6"/>
    <w:rsid w:val="00566CC5"/>
    <w:rsid w:val="00972354"/>
    <w:rsid w:val="00C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6070F-6FE8-4573-BE5B-E767AACE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488D"/>
  </w:style>
  <w:style w:type="character" w:customStyle="1" w:styleId="sden">
    <w:name w:val="s_den"/>
    <w:basedOn w:val="DefaultParagraphFont"/>
    <w:rsid w:val="00CB488D"/>
  </w:style>
  <w:style w:type="character" w:customStyle="1" w:styleId="shdr">
    <w:name w:val="s_hdr"/>
    <w:basedOn w:val="DefaultParagraphFont"/>
    <w:rsid w:val="00CB488D"/>
  </w:style>
  <w:style w:type="character" w:customStyle="1" w:styleId="semtttl">
    <w:name w:val="s_emt_ttl"/>
    <w:basedOn w:val="DefaultParagraphFont"/>
    <w:rsid w:val="00CB488D"/>
  </w:style>
  <w:style w:type="character" w:customStyle="1" w:styleId="semtbdy">
    <w:name w:val="s_emt_bdy"/>
    <w:basedOn w:val="DefaultParagraphFont"/>
    <w:rsid w:val="00CB488D"/>
  </w:style>
  <w:style w:type="character" w:customStyle="1" w:styleId="spub">
    <w:name w:val="s_pub"/>
    <w:basedOn w:val="DefaultParagraphFont"/>
    <w:rsid w:val="00CB488D"/>
  </w:style>
  <w:style w:type="character" w:customStyle="1" w:styleId="spubttl">
    <w:name w:val="s_pub_ttl"/>
    <w:basedOn w:val="DefaultParagraphFont"/>
    <w:rsid w:val="00CB488D"/>
  </w:style>
  <w:style w:type="character" w:customStyle="1" w:styleId="spubbdy">
    <w:name w:val="s_pub_bdy"/>
    <w:basedOn w:val="DefaultParagraphFont"/>
    <w:rsid w:val="00CB488D"/>
  </w:style>
  <w:style w:type="character" w:customStyle="1" w:styleId="snta">
    <w:name w:val="s_nta"/>
    <w:basedOn w:val="DefaultParagraphFont"/>
    <w:rsid w:val="00CB488D"/>
  </w:style>
  <w:style w:type="character" w:customStyle="1" w:styleId="sntattl">
    <w:name w:val="s_nta_ttl"/>
    <w:basedOn w:val="DefaultParagraphFont"/>
    <w:rsid w:val="00CB488D"/>
  </w:style>
  <w:style w:type="character" w:customStyle="1" w:styleId="sntapar">
    <w:name w:val="s_nta_par"/>
    <w:basedOn w:val="DefaultParagraphFont"/>
    <w:rsid w:val="00CB488D"/>
  </w:style>
  <w:style w:type="character" w:customStyle="1" w:styleId="scap">
    <w:name w:val="s_cap"/>
    <w:basedOn w:val="DefaultParagraphFont"/>
    <w:rsid w:val="00CB488D"/>
  </w:style>
  <w:style w:type="character" w:customStyle="1" w:styleId="scapttl">
    <w:name w:val="s_cap_ttl"/>
    <w:basedOn w:val="DefaultParagraphFont"/>
    <w:rsid w:val="00CB488D"/>
  </w:style>
  <w:style w:type="character" w:customStyle="1" w:styleId="scapden">
    <w:name w:val="s_cap_den"/>
    <w:basedOn w:val="DefaultParagraphFont"/>
    <w:rsid w:val="00CB488D"/>
  </w:style>
  <w:style w:type="character" w:customStyle="1" w:styleId="scapbdy">
    <w:name w:val="s_cap_bdy"/>
    <w:basedOn w:val="DefaultParagraphFont"/>
    <w:rsid w:val="00CB488D"/>
  </w:style>
  <w:style w:type="character" w:customStyle="1" w:styleId="sart">
    <w:name w:val="s_art"/>
    <w:basedOn w:val="DefaultParagraphFont"/>
    <w:rsid w:val="00CB488D"/>
  </w:style>
  <w:style w:type="character" w:customStyle="1" w:styleId="sartttl">
    <w:name w:val="s_art_ttl"/>
    <w:basedOn w:val="DefaultParagraphFont"/>
    <w:rsid w:val="00CB488D"/>
  </w:style>
  <w:style w:type="character" w:customStyle="1" w:styleId="sartden">
    <w:name w:val="s_art_den"/>
    <w:basedOn w:val="DefaultParagraphFont"/>
    <w:rsid w:val="00CB488D"/>
  </w:style>
  <w:style w:type="character" w:customStyle="1" w:styleId="sartbdy">
    <w:name w:val="s_art_bdy"/>
    <w:basedOn w:val="DefaultParagraphFont"/>
    <w:rsid w:val="00CB488D"/>
  </w:style>
  <w:style w:type="character" w:customStyle="1" w:styleId="spar">
    <w:name w:val="s_par"/>
    <w:basedOn w:val="DefaultParagraphFont"/>
    <w:rsid w:val="00CB488D"/>
  </w:style>
  <w:style w:type="character" w:customStyle="1" w:styleId="saln">
    <w:name w:val="s_aln"/>
    <w:basedOn w:val="DefaultParagraphFont"/>
    <w:rsid w:val="00CB488D"/>
  </w:style>
  <w:style w:type="character" w:customStyle="1" w:styleId="salnttl">
    <w:name w:val="s_aln_ttl"/>
    <w:basedOn w:val="DefaultParagraphFont"/>
    <w:rsid w:val="00CB488D"/>
  </w:style>
  <w:style w:type="character" w:customStyle="1" w:styleId="salnbdy">
    <w:name w:val="s_aln_bdy"/>
    <w:basedOn w:val="DefaultParagraphFont"/>
    <w:rsid w:val="00CB488D"/>
  </w:style>
  <w:style w:type="character" w:customStyle="1" w:styleId="slit">
    <w:name w:val="s_lit"/>
    <w:basedOn w:val="DefaultParagraphFont"/>
    <w:rsid w:val="00CB488D"/>
  </w:style>
  <w:style w:type="character" w:customStyle="1" w:styleId="slitttl">
    <w:name w:val="s_lit_ttl"/>
    <w:basedOn w:val="DefaultParagraphFont"/>
    <w:rsid w:val="00CB488D"/>
  </w:style>
  <w:style w:type="character" w:customStyle="1" w:styleId="slitbdy">
    <w:name w:val="s_lit_bdy"/>
    <w:basedOn w:val="DefaultParagraphFont"/>
    <w:rsid w:val="00CB488D"/>
  </w:style>
  <w:style w:type="character" w:customStyle="1" w:styleId="slin">
    <w:name w:val="s_lin"/>
    <w:basedOn w:val="DefaultParagraphFont"/>
    <w:rsid w:val="00CB488D"/>
  </w:style>
  <w:style w:type="character" w:customStyle="1" w:styleId="slinttl">
    <w:name w:val="s_lin_ttl"/>
    <w:basedOn w:val="DefaultParagraphFont"/>
    <w:rsid w:val="00CB488D"/>
  </w:style>
  <w:style w:type="character" w:customStyle="1" w:styleId="slinbdy">
    <w:name w:val="s_lin_bdy"/>
    <w:basedOn w:val="DefaultParagraphFont"/>
    <w:rsid w:val="00CB488D"/>
  </w:style>
  <w:style w:type="character" w:customStyle="1" w:styleId="spct">
    <w:name w:val="s_pct"/>
    <w:basedOn w:val="DefaultParagraphFont"/>
    <w:rsid w:val="00CB488D"/>
  </w:style>
  <w:style w:type="character" w:customStyle="1" w:styleId="spctttl">
    <w:name w:val="s_pct_ttl"/>
    <w:basedOn w:val="DefaultParagraphFont"/>
    <w:rsid w:val="00CB488D"/>
  </w:style>
  <w:style w:type="character" w:customStyle="1" w:styleId="spctbdy">
    <w:name w:val="s_pct_bdy"/>
    <w:basedOn w:val="DefaultParagraphFont"/>
    <w:rsid w:val="00CB488D"/>
  </w:style>
  <w:style w:type="character" w:customStyle="1" w:styleId="slgi">
    <w:name w:val="s_lgi"/>
    <w:basedOn w:val="DefaultParagraphFont"/>
    <w:rsid w:val="00CB488D"/>
  </w:style>
  <w:style w:type="paragraph" w:styleId="Header">
    <w:name w:val="header"/>
    <w:basedOn w:val="Normal"/>
    <w:link w:val="HeaderChar"/>
    <w:uiPriority w:val="99"/>
    <w:unhideWhenUsed/>
    <w:rsid w:val="00CB4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88D"/>
  </w:style>
  <w:style w:type="paragraph" w:styleId="Footer">
    <w:name w:val="footer"/>
    <w:basedOn w:val="Normal"/>
    <w:link w:val="FooterChar"/>
    <w:uiPriority w:val="99"/>
    <w:unhideWhenUsed/>
    <w:rsid w:val="00CB4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14222</Words>
  <Characters>81066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Dell</cp:lastModifiedBy>
  <cp:revision>2</cp:revision>
  <dcterms:created xsi:type="dcterms:W3CDTF">2024-12-31T09:22:00Z</dcterms:created>
  <dcterms:modified xsi:type="dcterms:W3CDTF">2024-12-31T09:22:00Z</dcterms:modified>
</cp:coreProperties>
</file>